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22C" w14:textId="2776718D" w:rsidR="00565D2D" w:rsidRDefault="00565D2D" w:rsidP="00565D2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44E0D">
        <w:rPr>
          <w:rFonts w:ascii="Arial" w:hAnsi="Arial" w:cs="Arial"/>
          <w:b/>
          <w:bCs/>
          <w:sz w:val="22"/>
          <w:szCs w:val="22"/>
        </w:rPr>
        <w:t xml:space="preserve">Dünya Ticaret Örgütü (DTÖ) </w:t>
      </w:r>
      <w:r w:rsidRPr="00565D2D">
        <w:rPr>
          <w:rFonts w:ascii="Arial" w:hAnsi="Arial" w:cs="Arial"/>
          <w:b/>
          <w:bCs/>
          <w:sz w:val="22"/>
          <w:szCs w:val="22"/>
        </w:rPr>
        <w:t>Ticaretin Kolaylaştırılması Komitesi Toplantı Notu</w:t>
      </w:r>
    </w:p>
    <w:p w14:paraId="08BD1C8F" w14:textId="77777777" w:rsidR="00C34EE0" w:rsidRPr="00565D2D" w:rsidRDefault="00C34EE0" w:rsidP="00565D2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2CDB08" w14:textId="7DD1905B" w:rsidR="00B44E0D" w:rsidRDefault="00565D2D" w:rsidP="00BB7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44E0D" w:rsidRPr="00B44E0D">
        <w:rPr>
          <w:rFonts w:ascii="Arial" w:hAnsi="Arial" w:cs="Arial"/>
          <w:sz w:val="22"/>
          <w:szCs w:val="22"/>
        </w:rPr>
        <w:t xml:space="preserve">Dünya Ticaret Örgütü (DTÖ) Ticaretin Kolaylaştırılması Komitesi </w:t>
      </w:r>
      <w:r w:rsidR="00C42A1F">
        <w:rPr>
          <w:rFonts w:ascii="Arial" w:hAnsi="Arial" w:cs="Arial"/>
          <w:sz w:val="22"/>
          <w:szCs w:val="22"/>
        </w:rPr>
        <w:t xml:space="preserve">Toplantısı </w:t>
      </w:r>
      <w:r w:rsidR="00B44E0D" w:rsidRPr="00B44E0D">
        <w:rPr>
          <w:rFonts w:ascii="Arial" w:hAnsi="Arial" w:cs="Arial"/>
          <w:sz w:val="22"/>
          <w:szCs w:val="22"/>
        </w:rPr>
        <w:t>4-5 Haziran 2025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tarihlerinde gerçekleştirilmiştir.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Ticaretin Kolaylaştırılması (TK) Anlaşması’nın uygulanması ve idaresine ilişkin mutat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gündem maddesinin ardından; Anlaşma’nın taraf ülkelerce onaylanması ve bildirimlerin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durumuna dair Sekretarya tarafından bir bilgilendirme sunumu (yapılmıştır.</w:t>
      </w:r>
      <w:r w:rsidR="00B44E0D">
        <w:rPr>
          <w:rFonts w:ascii="Arial" w:hAnsi="Arial" w:cs="Arial"/>
          <w:sz w:val="22"/>
          <w:szCs w:val="22"/>
        </w:rPr>
        <w:t xml:space="preserve"> </w:t>
      </w:r>
    </w:p>
    <w:p w14:paraId="56C0FFE1" w14:textId="77777777" w:rsidR="00B44E0D" w:rsidRDefault="00B44E0D" w:rsidP="00BB7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44E0D">
        <w:rPr>
          <w:rFonts w:ascii="Arial" w:hAnsi="Arial" w:cs="Arial"/>
          <w:sz w:val="22"/>
          <w:szCs w:val="22"/>
        </w:rPr>
        <w:t>Sunumda, Anlaşma’nın toplamda 161 üye tarafından onaylandığı; Demokratik Kongo,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Haiti, Moritanya, Surinam, Tonga ve Yemen olmak üzere 6 üyenin ulusal onay sürecinin devam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ettiği bildirilmiştir. Ayrıca, toplamda 4 üye tarafından şeffaflık bildirimi yapıldığı; 36 üyenin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süresi geçmiş şeffaflık bildirimlerini henüz sunmadığı; 97 üyenin, kategori C önlemlerine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ilişkin taahhütte bulunduğu, gelişmekte olan ülkeler ile en az gelişmiş ülkeler (EAGÜ)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tarafından sunulan uygulama taahhütlerinin %80’inin yerine getirildiği, kategori C önlemlerini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uygulamayı taahhüt eden 65 üyenin ise önümüzdeki iki yıl içinde teknik yardım ve kapasite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geliştirme talebinde bulunduğu bildirilmiştir.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716210" w14:textId="27A7643A" w:rsidR="00B44E0D" w:rsidRPr="00B44E0D" w:rsidRDefault="00B44E0D" w:rsidP="00BB7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44E0D">
        <w:rPr>
          <w:rFonts w:ascii="Arial" w:hAnsi="Arial" w:cs="Arial"/>
          <w:sz w:val="22"/>
          <w:szCs w:val="22"/>
        </w:rPr>
        <w:t>Sekretarya tarafından ayrıca, en çok teknik destek talep edilen beş önlemin; tek pencere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 xml:space="preserve">sistemi (Madde 10.4), gümrük idareleri arasında </w:t>
      </w:r>
      <w:r w:rsidR="00BA6AF0" w:rsidRPr="00B44E0D">
        <w:rPr>
          <w:rFonts w:ascii="Arial" w:hAnsi="Arial" w:cs="Arial"/>
          <w:sz w:val="22"/>
          <w:szCs w:val="22"/>
        </w:rPr>
        <w:t>iş birliği</w:t>
      </w:r>
      <w:r w:rsidRPr="00B44E0D">
        <w:rPr>
          <w:rFonts w:ascii="Arial" w:hAnsi="Arial" w:cs="Arial"/>
          <w:sz w:val="22"/>
          <w:szCs w:val="22"/>
        </w:rPr>
        <w:t xml:space="preserve"> (Madde 8), risk yönetimi sistemi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(Madde 7.4), test prosedürleri (Madde 5.3), yetkilendirilmiş yükümlü (AEO) uygulamaları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(Madde 7.7) olduğu; EAGÜ ve GYÜ’lerin taahhütlerini uygulama ortalamasının %73,2; tüm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üyeler bakımından ortalamanın ise %79,4 olduğu ifade edilmiştir.</w:t>
      </w:r>
    </w:p>
    <w:p w14:paraId="6CE9D166" w14:textId="77777777" w:rsidR="00B44E0D" w:rsidRDefault="00B44E0D" w:rsidP="00BB7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44E0D">
        <w:rPr>
          <w:rFonts w:ascii="Arial" w:hAnsi="Arial" w:cs="Arial"/>
          <w:sz w:val="22"/>
          <w:szCs w:val="22"/>
        </w:rPr>
        <w:t>Toplantıda ayrıca, dijitalleşme başlığı altında “dijital belgelerde güven inşası” ve “dijital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altyapının finansmanı” konulu tematik oturumlar gerçekleştirilmiştir. Çin, Avrupa Birliği (AB),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Amerika Birleşik Devletleri (ABD), OECD, Japonya, Moldova, Moğolistan, Paraguay,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Bangladeş ve Birleşik Krallık tarafından sunumlar gerçekleştirilmiştir.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A80B6D7" w14:textId="5BBCCF2C" w:rsidR="00B44E0D" w:rsidRPr="00B44E0D" w:rsidRDefault="00B44E0D" w:rsidP="00BB7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44E0D">
        <w:rPr>
          <w:rFonts w:ascii="Arial" w:hAnsi="Arial" w:cs="Arial"/>
          <w:sz w:val="22"/>
          <w:szCs w:val="22"/>
        </w:rPr>
        <w:t>Çin tarafından yapılan sunumda, e-ticaret gönderilerindeki artışı akıllı dijital çözümlerle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yönettiklerini, tüm gönderilerin tarandığını, yüksek riskli olanların denetime tabi tutulduğunu,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ödeme süreçlerini dijitalleştirdiklerini belirtmiştir. AB tarafından yapılan sunumda, dijital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belgelerde güven inşa edilmesi kapsamında EBSI (</w:t>
      </w:r>
      <w:r w:rsidR="00BB76B4">
        <w:rPr>
          <w:rFonts w:ascii="Arial" w:hAnsi="Arial" w:cs="Arial"/>
          <w:sz w:val="22"/>
          <w:szCs w:val="22"/>
        </w:rPr>
        <w:t>E</w:t>
      </w:r>
      <w:r w:rsidRPr="00B44E0D">
        <w:rPr>
          <w:rFonts w:ascii="Arial" w:hAnsi="Arial" w:cs="Arial"/>
          <w:sz w:val="22"/>
          <w:szCs w:val="22"/>
        </w:rPr>
        <w:t xml:space="preserve">uropean </w:t>
      </w:r>
      <w:r w:rsidR="00BB76B4">
        <w:rPr>
          <w:rFonts w:ascii="Arial" w:hAnsi="Arial" w:cs="Arial"/>
          <w:sz w:val="22"/>
          <w:szCs w:val="22"/>
        </w:rPr>
        <w:t>B</w:t>
      </w:r>
      <w:r w:rsidRPr="00B44E0D">
        <w:rPr>
          <w:rFonts w:ascii="Arial" w:hAnsi="Arial" w:cs="Arial"/>
          <w:sz w:val="22"/>
          <w:szCs w:val="22"/>
        </w:rPr>
        <w:t xml:space="preserve">lockchain </w:t>
      </w:r>
      <w:r w:rsidR="00BB76B4">
        <w:rPr>
          <w:rFonts w:ascii="Arial" w:hAnsi="Arial" w:cs="Arial"/>
          <w:sz w:val="22"/>
          <w:szCs w:val="22"/>
        </w:rPr>
        <w:t>S</w:t>
      </w:r>
      <w:r w:rsidRPr="00B44E0D">
        <w:rPr>
          <w:rFonts w:ascii="Arial" w:hAnsi="Arial" w:cs="Arial"/>
          <w:sz w:val="22"/>
          <w:szCs w:val="22"/>
        </w:rPr>
        <w:t xml:space="preserve">ervices </w:t>
      </w:r>
      <w:r w:rsidR="00BB76B4">
        <w:rPr>
          <w:rFonts w:ascii="Arial" w:hAnsi="Arial" w:cs="Arial"/>
          <w:sz w:val="22"/>
          <w:szCs w:val="22"/>
        </w:rPr>
        <w:t>I</w:t>
      </w:r>
      <w:r w:rsidRPr="00B44E0D">
        <w:rPr>
          <w:rFonts w:ascii="Arial" w:hAnsi="Arial" w:cs="Arial"/>
          <w:sz w:val="22"/>
          <w:szCs w:val="22"/>
        </w:rPr>
        <w:t>nfrastructure) üzerinden geliştirilen uygulamaları tanıtmış, söz konusu uygulamalarla mevzuat yükünün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azaltıldığını vurgulamıştır. OECD tarafından yapılan sunumda, dijital dönüşümün yalnızca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belgelerin dijitalleşmesi anlamına gelmediğini, aynı zamanda gerekli altyapının kurulması,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kurumlararası iş</w:t>
      </w:r>
      <w:r w:rsidR="00BA6AF0"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birliğinin artırılması ve mevzuatın sadeleştirilmesi gibi hususları da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kapsadığını, özellikle gelişmekte olan ülkelerin teknik desteğe ihtiyaç duyduğunu belirtmiştir.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Toplantıda yapılan tüm sunumlara</w:t>
      </w:r>
      <w:r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B44E0D">
          <w:rPr>
            <w:rStyle w:val="Kpr"/>
            <w:rFonts w:ascii="Arial" w:hAnsi="Arial" w:cs="Arial"/>
            <w:sz w:val="22"/>
            <w:szCs w:val="22"/>
          </w:rPr>
          <w:t>https://www.tfadatabase.org/en/tradefacilitationcommittee/meeting/2025-06-04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bağlantı adresinden erişim sağlanabilmektedir.</w:t>
      </w:r>
    </w:p>
    <w:p w14:paraId="0FDE93D1" w14:textId="083D1909" w:rsidR="00B44E0D" w:rsidRPr="00B44E0D" w:rsidRDefault="00B44E0D" w:rsidP="00BB7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44E0D">
        <w:rPr>
          <w:rFonts w:ascii="Arial" w:hAnsi="Arial" w:cs="Arial"/>
          <w:sz w:val="22"/>
          <w:szCs w:val="22"/>
        </w:rPr>
        <w:t>ABD, Endonezya’nın dijital ürünlerin, gümrük tarife istatistik pozisyonu ile ithalatının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yapılmasını da kapsayan gümrük düzenlemelerine ilişkin endişelerini yinelemiş; söz konusu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uygulamanın TK Anlaşması’nın ithalat işlemlerini kolaylaştırma ilkesine aykırı olduğunu ve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düzenleme yapılmadan önce madde 2 kapsamındaki istişare sürecinin işletilmediğini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belirterek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Endonezya’dan uygulamayı askıya almasını talep etmiştir. Endonezya ise uygulamanın dijital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sektörün izlenmesi amacıyla hayata geçirildiğini ve düzenlemenin ithalatçılara ek yük veya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engel oluşturmadığını, ithalatçının son kullanıcılar değil yazılım firmaları olduğunu,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uygulamaya ilişkin şimdiye kadar şikayet alınmadığını, uygun görülmesi halinde Ekim ayında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lastRenderedPageBreak/>
        <w:t>yapılacak Komite toplantısında anılan uygulamaya ilişkin deneyim paylaşımı yapmaya hazır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olduklarını ifade etmiştir. Singapur, Avustralya, Japonya, AB, Birleşik Krallık, Kanada ve Yeni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Zelanda da Endonezya’nın açıklamalarını yetersiz bulduklarını ifade ederek süreci izlemeye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devam edeceklerini belirtmişlerdir.</w:t>
      </w:r>
    </w:p>
    <w:p w14:paraId="04348E8B" w14:textId="77777777" w:rsidR="00BB76B4" w:rsidRDefault="00B44E0D" w:rsidP="00BB7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44E0D">
        <w:rPr>
          <w:rFonts w:ascii="Arial" w:hAnsi="Arial" w:cs="Arial"/>
          <w:sz w:val="22"/>
          <w:szCs w:val="22"/>
        </w:rPr>
        <w:t>Toplantının bir diğer gündem maddesi kapsamında ABD, Endonezya Gümrük Kanunu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kapsamında, gümrük görevlilerine gümrük işlemlerinde ithalatçılar tarafından yapılan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ihlallerini tespit etmeleri durumunda ödül verilmesi uygulamasına açıklık getirilmesini talep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etmiştir. ABD, bu uygulamanın, cezaların gereğinden fazla verilmesine neden olabileceğini,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uygulama ile ithalatçıların hedef alınmasının nasıl engellendiğini, ödül için hangi şartların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arandığını sormuştur. Endonezya, söz konusu ABD sorularının yazılı olarak iletilmesini talep</w:t>
      </w:r>
      <w:r>
        <w:rPr>
          <w:rFonts w:ascii="Arial" w:hAnsi="Arial" w:cs="Arial"/>
          <w:sz w:val="22"/>
          <w:szCs w:val="22"/>
        </w:rPr>
        <w:t xml:space="preserve"> </w:t>
      </w:r>
      <w:r w:rsidRPr="00B44E0D">
        <w:rPr>
          <w:rFonts w:ascii="Arial" w:hAnsi="Arial" w:cs="Arial"/>
          <w:sz w:val="22"/>
          <w:szCs w:val="22"/>
        </w:rPr>
        <w:t>etmiş; akabinde ilgili kurum ve kuruluşlar ile koordine edilerek cevaplanacağını belirtmiştir.</w:t>
      </w:r>
    </w:p>
    <w:p w14:paraId="21A35822" w14:textId="6F4D1E1E" w:rsidR="00B44E0D" w:rsidRPr="00B44E0D" w:rsidRDefault="00BB76B4" w:rsidP="00BB7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44E0D" w:rsidRPr="00B44E0D">
        <w:rPr>
          <w:rFonts w:ascii="Arial" w:hAnsi="Arial" w:cs="Arial"/>
          <w:sz w:val="22"/>
          <w:szCs w:val="22"/>
        </w:rPr>
        <w:t>Ulusal Ticaret Kolaylaştırma Komiteleri (NTFCs) iyi uygulamalarının ortak yönleri ve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Komitenin geçmiş toplantılarında üyeler tarafından bu hususta yapılan deneyim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paylaşımlarından yararlanarak; NTFC iyi uygulamalarında benimsenmesi gereken ilkelere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dair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belge (G/TFA/W/96.Rev.2) bu toplantıda yeniden ele alınmıştır. Revize belgede, söz konusu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ilkelerin üyeler tarafından “olumlu şekilde değerlendirilmesi (take positive consideration)”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ifadesine yer verilmektedir. Hindistan, Afrika, Karayip ve Pasifik Devletleri Örgütü (ACP)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başta olmak üzere bazı üyeler; gelişmekte olan ülkeler için ulusal komitelerin hala kurulma ya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da geliştirilme aşamasında olduğunu, bu nedenle belgede bağlayıcı bir hükme yer verilmemesi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gerektiğini ifade ederek; paragraf 4.6’nın çıkarılmasını talep etmişlerdir. Öte yandan, Birleşik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Krallık, Japonya, ABD ve bazı Latin Amerika ülkeleri, ilkelerin kabul edilmesinin ulusal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komitelerin etkinliğini artıracağını dile getirmiştir. Taraflar arasında uzlaşı sağlanamaması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nedeniyle belgenin gayri resmî istişareler yoluyla ele alınmaya devam edilmesi</w:t>
      </w:r>
      <w:r w:rsidR="00B44E0D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kararlaştırılmıştır.</w:t>
      </w:r>
    </w:p>
    <w:p w14:paraId="1483EC27" w14:textId="41CBD0DE" w:rsidR="00B44E0D" w:rsidRPr="00B44E0D" w:rsidRDefault="00BB76B4" w:rsidP="00BB7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44E0D" w:rsidRPr="00B44E0D">
        <w:rPr>
          <w:rFonts w:ascii="Arial" w:hAnsi="Arial" w:cs="Arial"/>
          <w:sz w:val="22"/>
          <w:szCs w:val="22"/>
        </w:rPr>
        <w:t>Toplantıda, denize kıyısı olmayan gelişmekte olan ülkeler (LLDC) için oluşturulan</w:t>
      </w:r>
      <w:r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transit koridorlarına ilişkin LLDC grubu adına Botsvana tarafından koordine edilen ve</w:t>
      </w:r>
      <w:r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Sekretarya tarafından hazırlanan bir çalışmaya dair bilgi verilmiştir. Yapılan sunumda,</w:t>
      </w:r>
      <w:r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gümrük otoriteleri arasındaki koordinasyonun artırılması ve dijital çözümlerin entegrasyonu</w:t>
      </w:r>
      <w:r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yoluyla</w:t>
      </w:r>
      <w:r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transit sürelerinde %20 ile %40 oranında azalma sağlandığı; Kenya, Uganda, Ruanda, Burundi</w:t>
      </w:r>
      <w:r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ve Demokratik Kongo’yu bağlayan kuzey koridoru üzerinden söz konusu sürenin 11 günden 5</w:t>
      </w:r>
      <w:r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güne düşürüldüğü, çalışmanın nihai halinin, Ekim 2025 toplantısından önce yayımlanacağı; 5-8 Ağustos 2025 tarihlerinde Türkmenistan’da düzenlenecek Birleşmiş Milletler LLDC</w:t>
      </w:r>
      <w:r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Konferansı kapsamında çalışmaya dair bir yan etkinlik yapılacağı ifade edilmiştir.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CFF10D" w14:textId="776C9F66" w:rsidR="00B44E0D" w:rsidRPr="00B44E0D" w:rsidRDefault="003505E9" w:rsidP="00BB7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44E0D" w:rsidRPr="00B44E0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icaretin </w:t>
      </w:r>
      <w:r w:rsidR="00B44E0D" w:rsidRPr="00B44E0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olaylaştırılması</w:t>
      </w:r>
      <w:r w:rsidR="00B44E0D" w:rsidRPr="00B44E0D">
        <w:rPr>
          <w:rFonts w:ascii="Arial" w:hAnsi="Arial" w:cs="Arial"/>
          <w:sz w:val="22"/>
          <w:szCs w:val="22"/>
        </w:rPr>
        <w:t xml:space="preserve"> Komitesi’nin bir sonraki toplantısının 21-23 Ekim 2025 tarihlerinde</w:t>
      </w:r>
      <w:r w:rsidR="00BB76B4">
        <w:rPr>
          <w:rFonts w:ascii="Arial" w:hAnsi="Arial" w:cs="Arial"/>
          <w:sz w:val="22"/>
          <w:szCs w:val="22"/>
        </w:rPr>
        <w:t xml:space="preserve"> </w:t>
      </w:r>
      <w:r w:rsidR="00B44E0D" w:rsidRPr="00B44E0D">
        <w:rPr>
          <w:rFonts w:ascii="Arial" w:hAnsi="Arial" w:cs="Arial"/>
          <w:sz w:val="22"/>
          <w:szCs w:val="22"/>
        </w:rPr>
        <w:t>gerçekleştirilmesi kararlaştırılmıştır.</w:t>
      </w:r>
    </w:p>
    <w:p w14:paraId="002FED75" w14:textId="4318A652" w:rsidR="00F21B17" w:rsidRPr="00B44E0D" w:rsidRDefault="00F21B17" w:rsidP="00B44E0D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21B17" w:rsidRPr="00B44E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DD3F" w14:textId="77777777" w:rsidR="00DD519A" w:rsidRDefault="00DD519A" w:rsidP="00F21B17">
      <w:pPr>
        <w:spacing w:after="0" w:line="240" w:lineRule="auto"/>
      </w:pPr>
      <w:r>
        <w:separator/>
      </w:r>
    </w:p>
  </w:endnote>
  <w:endnote w:type="continuationSeparator" w:id="0">
    <w:p w14:paraId="5E37DF2B" w14:textId="77777777" w:rsidR="00DD519A" w:rsidRDefault="00DD519A" w:rsidP="00F2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343551"/>
      <w:docPartObj>
        <w:docPartGallery w:val="Page Numbers (Bottom of Page)"/>
        <w:docPartUnique/>
      </w:docPartObj>
    </w:sdtPr>
    <w:sdtContent>
      <w:p w14:paraId="6913505D" w14:textId="635C595A" w:rsidR="00565D2D" w:rsidRDefault="00565D2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1C12A" w14:textId="77777777" w:rsidR="00565D2D" w:rsidRDefault="00565D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D467" w14:textId="77777777" w:rsidR="00DD519A" w:rsidRDefault="00DD519A" w:rsidP="00F21B17">
      <w:pPr>
        <w:spacing w:after="0" w:line="240" w:lineRule="auto"/>
      </w:pPr>
      <w:r>
        <w:separator/>
      </w:r>
    </w:p>
  </w:footnote>
  <w:footnote w:type="continuationSeparator" w:id="0">
    <w:p w14:paraId="5A5DE378" w14:textId="77777777" w:rsidR="00DD519A" w:rsidRDefault="00DD519A" w:rsidP="00F21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D"/>
    <w:rsid w:val="000D648D"/>
    <w:rsid w:val="0022753E"/>
    <w:rsid w:val="002C6F58"/>
    <w:rsid w:val="003505E9"/>
    <w:rsid w:val="00411020"/>
    <w:rsid w:val="00565D2D"/>
    <w:rsid w:val="00AA1DB5"/>
    <w:rsid w:val="00B44E0D"/>
    <w:rsid w:val="00BA6AF0"/>
    <w:rsid w:val="00BB76B4"/>
    <w:rsid w:val="00C34EE0"/>
    <w:rsid w:val="00C42A1F"/>
    <w:rsid w:val="00DD519A"/>
    <w:rsid w:val="00E4363A"/>
    <w:rsid w:val="00E659F4"/>
    <w:rsid w:val="00F2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1EB0C"/>
  <w15:chartTrackingRefBased/>
  <w15:docId w15:val="{FA3795D6-51C5-4363-B677-E89769F6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6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6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6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6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6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6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6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6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6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6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6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648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648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648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648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648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648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6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6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6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648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648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648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6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648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648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44E0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44E0D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6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D2D"/>
  </w:style>
  <w:style w:type="paragraph" w:styleId="AltBilgi">
    <w:name w:val="footer"/>
    <w:basedOn w:val="Normal"/>
    <w:link w:val="AltBilgiChar"/>
    <w:uiPriority w:val="99"/>
    <w:unhideWhenUsed/>
    <w:rsid w:val="0056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fadatabase.org/en/tradefacilitationcommittee/meeting/2025-06-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Yengil</dc:creator>
  <cp:keywords/>
  <dc:description/>
  <cp:lastModifiedBy>Onur Yengil</cp:lastModifiedBy>
  <cp:revision>7</cp:revision>
  <dcterms:created xsi:type="dcterms:W3CDTF">2025-07-16T11:45:00Z</dcterms:created>
  <dcterms:modified xsi:type="dcterms:W3CDTF">2025-07-16T12:14:00Z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user=28973192416</vt:lpwstr>
  </property>
  <property fmtid="{D5CDD505-2E9C-101B-9397-08002B2CF9AE}" pid="4" name="geodilabeltime">
    <vt:lpwstr>datetime=2025-07-16T11:51:22.710Z</vt:lpwstr>
  </property>
</Properties>
</file>